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6tdfvdhdsp9m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Hispanic Heritage Month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Celebrate Hispanic Heritage Month!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Hispanic Heritage Month is here! Celebrate with OpenDoors and this 8-minute course highlighting the culture and contributions of Hispanic/Latinx Americans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Join us in appreciating and learning about this rich heritage.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🎉 Hispanic Heritage Month celebration! This 8-minute course by OpenDoors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is a great way to learn about Hispanic/Latinx culture and history. Let's celebrate diversity!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xz824ulzave7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National Suicide Prevention Awareness Month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Prioritize Mental Wellbeing in Suicide Prevention Awareness Month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In National Suicide Prevention Awareness Month, delve into "Suicide Prevention for Employees" by Breaking Barriers United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14-minute course offers crucial guidance on recognizing signs and providing support. Let's create a caring and supportive environment.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🎗 September is Suicide Prevention Awareness Month. Explore "Suicide Prevention for Employees" by Breaking Barriers United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 a 14-minute course to learn about supporting mental health. Together, we can make a difference.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